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1"/>
        <w:spacing w:line="276" w:lineRule="auto"/>
        <w:jc w:val="center"/>
        <w:rPr>
          <w:color w:val="000000"/>
          <w:sz w:val="26"/>
          <w:szCs w:val="26"/>
        </w:rPr>
      </w:pPr>
      <w:r w:rsidDel="00000000" w:rsidR="00000000" w:rsidRPr="00000000">
        <w:rPr>
          <w:color w:val="000000"/>
          <w:sz w:val="26"/>
          <w:szCs w:val="26"/>
          <w:rtl w:val="0"/>
        </w:rPr>
        <w:t xml:space="preserve">RELATÓRIO TÉCNICO DE PRECIFICAÇÃO</w:t>
      </w:r>
    </w:p>
    <w:p w:rsidR="00000000" w:rsidDel="00000000" w:rsidP="00000000" w:rsidRDefault="00000000" w:rsidRPr="00000000" w14:paraId="00000003">
      <w:pPr>
        <w:spacing w:after="200" w:line="276" w:lineRule="auto"/>
        <w:jc w:val="cente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Serviços de Georreferenciamento ou “Implementação de Marcos Geográficos”</w:t>
      </w:r>
    </w:p>
    <w:p w:rsidR="00000000" w:rsidDel="00000000" w:rsidP="00000000" w:rsidRDefault="00000000" w:rsidRPr="00000000" w14:paraId="00000004">
      <w:pPr>
        <w:pStyle w:val="Heading2"/>
        <w:keepLines w:val="1"/>
        <w:spacing w:after="200" w:before="200" w:line="276" w:lineRule="auto"/>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 Objetivo</w:t>
      </w:r>
    </w:p>
    <w:p w:rsidR="00000000" w:rsidDel="00000000" w:rsidP="00000000" w:rsidRDefault="00000000" w:rsidRPr="00000000" w14:paraId="00000005">
      <w:pPr>
        <w:spacing w:after="200" w:line="276"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 presente relatório tem como finalidade apresentar uma estimativa técnica de preços para a contratação de serviços de georreferenciamento de imóveis, com ênfase na implementação de marcos geográficos, distinguindo-os dos serviços convencionais de levantamento planialtimétrico, com base em dados públicos de contratações e metodologia normativa, assim entendidos os seguintes serviços:</w:t>
      </w:r>
    </w:p>
    <w:p w:rsidR="00000000" w:rsidDel="00000000" w:rsidP="00000000" w:rsidRDefault="00000000" w:rsidRPr="00000000" w14:paraId="00000006">
      <w:pPr>
        <w:numPr>
          <w:ilvl w:val="0"/>
          <w:numId w:val="1"/>
        </w:numPr>
        <w:spacing w:after="0" w:afterAutospacing="0" w:line="276" w:lineRule="auto"/>
        <w:ind w:left="720" w:hanging="36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Levantamento de campo com uso de GPS geodésico, estação total ou drone;</w:t>
      </w:r>
    </w:p>
    <w:p w:rsidR="00000000" w:rsidDel="00000000" w:rsidP="00000000" w:rsidRDefault="00000000" w:rsidRPr="00000000" w14:paraId="00000007">
      <w:pPr>
        <w:numPr>
          <w:ilvl w:val="0"/>
          <w:numId w:val="1"/>
        </w:numPr>
        <w:spacing w:after="0" w:afterAutospacing="0" w:line="276" w:lineRule="auto"/>
        <w:ind w:left="720" w:hanging="36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Posicionamento dos marcos físicos nos locais definidos pelo levantamento;</w:t>
      </w:r>
    </w:p>
    <w:p w:rsidR="00000000" w:rsidDel="00000000" w:rsidP="00000000" w:rsidRDefault="00000000" w:rsidRPr="00000000" w14:paraId="00000008">
      <w:pPr>
        <w:numPr>
          <w:ilvl w:val="0"/>
          <w:numId w:val="1"/>
        </w:numPr>
        <w:spacing w:after="0" w:afterAutospacing="0" w:line="276" w:lineRule="auto"/>
        <w:ind w:left="720" w:hanging="36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Registro das coordenadas georreferenciadas conforme sistemas oficiais (como o SIRGAS 2000 no Brasil);</w:t>
      </w:r>
    </w:p>
    <w:p w:rsidR="00000000" w:rsidDel="00000000" w:rsidP="00000000" w:rsidRDefault="00000000" w:rsidRPr="00000000" w14:paraId="00000009">
      <w:pPr>
        <w:numPr>
          <w:ilvl w:val="0"/>
          <w:numId w:val="1"/>
        </w:numPr>
        <w:spacing w:after="200" w:line="276" w:lineRule="auto"/>
        <w:ind w:left="720" w:hanging="36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Em alguns casos, certificação junto ao INCRA (quando se trata de imóveis rurais, por exemplo).</w:t>
      </w:r>
      <w:r w:rsidDel="00000000" w:rsidR="00000000" w:rsidRPr="00000000">
        <w:rPr>
          <w:rtl w:val="0"/>
        </w:rPr>
      </w:r>
    </w:p>
    <w:p w:rsidR="00000000" w:rsidDel="00000000" w:rsidP="00000000" w:rsidRDefault="00000000" w:rsidRPr="00000000" w14:paraId="0000000A">
      <w:pPr>
        <w:pStyle w:val="Heading2"/>
        <w:keepLines w:val="1"/>
        <w:spacing w:after="200" w:before="200" w:line="276" w:lineRule="auto"/>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2. Justificativa Técnica</w:t>
      </w:r>
    </w:p>
    <w:p w:rsidR="00000000" w:rsidDel="00000000" w:rsidP="00000000" w:rsidRDefault="00000000" w:rsidRPr="00000000" w14:paraId="0000000B">
      <w:pPr>
        <w:spacing w:after="200" w:line="276"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Ao realizar pesquisa no Painel de Preços do Governo Federal, constatou-se a escassez de registros específicos para “implementação de marcos geográficos” como item isolado. Isso se deve ao fato de que essa atividade está, na maioria dos casos, inserida no escopo mais amplo do georreferenciamento, geralmente associado à produção de planta georreferenciada, memorial descritivo e ART, conforme exigências do INCRA/SIGEF e das normas técnicas da ABNT (notadamente a NBR 13133 e a NBR 14653).</w:t>
        <w:br w:type="textWrapping"/>
        <w:br w:type="textWrapping"/>
        <w:t xml:space="preserve">Diferentemente dos levantamentos topográficos planialtimétricos básicos, sem exigência de certificação ou inserção cadastral, o georreferenciamento envolve maior rigor técnico, uso de marcos físicos, coordenadas geodésicas precisas, e, frequentemente, certificação junto a órgãos reguladores.</w:t>
      </w:r>
    </w:p>
    <w:p w:rsidR="00000000" w:rsidDel="00000000" w:rsidP="00000000" w:rsidRDefault="00000000" w:rsidRPr="00000000" w14:paraId="0000000C">
      <w:pPr>
        <w:pStyle w:val="Heading2"/>
        <w:keepLines w:val="1"/>
        <w:spacing w:after="200" w:before="200" w:line="276" w:lineRule="auto"/>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3. Metodologia</w:t>
      </w:r>
    </w:p>
    <w:p w:rsidR="00000000" w:rsidDel="00000000" w:rsidP="00000000" w:rsidRDefault="00000000" w:rsidRPr="00000000" w14:paraId="0000000D">
      <w:pPr>
        <w:spacing w:after="200" w:line="276"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Foram adotados como critérios de filtro os registros de contratações públicas cujo descritivo menciona expressamente o georreferenciamento como elemento integrante dos serviços, além dos levantamentos topográficos, dado que pode-se perceber que eram extremamente escassos os casos, nas contratações públicas, em que tais elementos não se encontravam associados. A coleta foi realizada no Painel de Preços (https://paineldeprecos.planejamento.gov.br/) em 28 de março de 2025.</w:t>
        <w:br w:type="textWrapping"/>
        <w:br w:type="textWrapping"/>
        <w:t xml:space="preserve">A amostragem selecionada compreende 5 registros públicos, abrangendo diferentes modalidades de contratação (Pregão, Concorrência e Dispensa), em diversas esferas administrativas (federal, estadual e municipal), conforme detalhado nos Anexos I e II.</w:t>
      </w:r>
    </w:p>
    <w:p w:rsidR="00000000" w:rsidDel="00000000" w:rsidP="00000000" w:rsidRDefault="00000000" w:rsidRPr="00000000" w14:paraId="0000000E">
      <w:pPr>
        <w:pStyle w:val="Heading2"/>
        <w:keepLines w:val="1"/>
        <w:spacing w:before="200" w:line="276" w:lineRule="auto"/>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4. Análise dos Dados</w:t>
      </w:r>
    </w:p>
    <w:tbl>
      <w:tblPr>
        <w:tblStyle w:val="Table1"/>
        <w:tblW w:w="864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0"/>
        <w:gridCol w:w="2160"/>
        <w:gridCol w:w="2160"/>
        <w:gridCol w:w="2160"/>
        <w:tblGridChange w:id="0">
          <w:tblGrid>
            <w:gridCol w:w="2160"/>
            <w:gridCol w:w="2160"/>
            <w:gridCol w:w="2160"/>
            <w:gridCol w:w="2160"/>
          </w:tblGrid>
        </w:tblGridChange>
      </w:tblGrid>
      <w:tr>
        <w:trPr>
          <w:cantSplit w:val="0"/>
          <w:tblHeader w:val="0"/>
        </w:trPr>
        <w:tc>
          <w:tcPr>
            <w:shd w:fill="434343" w:val="clear"/>
          </w:tcPr>
          <w:p w:rsidR="00000000" w:rsidDel="00000000" w:rsidP="00000000" w:rsidRDefault="00000000" w:rsidRPr="00000000" w14:paraId="0000000F">
            <w:pPr>
              <w:rPr>
                <w:rFonts w:ascii="Cambria" w:cs="Cambria" w:eastAsia="Cambria" w:hAnsi="Cambria"/>
                <w:b w:val="1"/>
                <w:color w:val="ffffff"/>
                <w:sz w:val="22"/>
                <w:szCs w:val="22"/>
              </w:rPr>
            </w:pPr>
            <w:r w:rsidDel="00000000" w:rsidR="00000000" w:rsidRPr="00000000">
              <w:rPr>
                <w:rFonts w:ascii="Cambria" w:cs="Cambria" w:eastAsia="Cambria" w:hAnsi="Cambria"/>
                <w:b w:val="1"/>
                <w:color w:val="ffffff"/>
                <w:sz w:val="22"/>
                <w:szCs w:val="22"/>
                <w:rtl w:val="0"/>
              </w:rPr>
              <w:t xml:space="preserve">Valor Unitário (R$/m²)</w:t>
            </w:r>
          </w:p>
        </w:tc>
        <w:tc>
          <w:tcPr>
            <w:shd w:fill="434343" w:val="clear"/>
          </w:tcPr>
          <w:p w:rsidR="00000000" w:rsidDel="00000000" w:rsidP="00000000" w:rsidRDefault="00000000" w:rsidRPr="00000000" w14:paraId="00000010">
            <w:pPr>
              <w:rPr>
                <w:rFonts w:ascii="Cambria" w:cs="Cambria" w:eastAsia="Cambria" w:hAnsi="Cambria"/>
                <w:b w:val="1"/>
                <w:color w:val="ffffff"/>
                <w:sz w:val="22"/>
                <w:szCs w:val="22"/>
              </w:rPr>
            </w:pPr>
            <w:r w:rsidDel="00000000" w:rsidR="00000000" w:rsidRPr="00000000">
              <w:rPr>
                <w:rFonts w:ascii="Cambria" w:cs="Cambria" w:eastAsia="Cambria" w:hAnsi="Cambria"/>
                <w:b w:val="1"/>
                <w:color w:val="ffffff"/>
                <w:sz w:val="22"/>
                <w:szCs w:val="22"/>
                <w:rtl w:val="0"/>
              </w:rPr>
              <w:t xml:space="preserve">Identificação da Compra</w:t>
            </w:r>
          </w:p>
        </w:tc>
        <w:tc>
          <w:tcPr>
            <w:shd w:fill="434343" w:val="clear"/>
          </w:tcPr>
          <w:p w:rsidR="00000000" w:rsidDel="00000000" w:rsidP="00000000" w:rsidRDefault="00000000" w:rsidRPr="00000000" w14:paraId="00000011">
            <w:pPr>
              <w:rPr>
                <w:rFonts w:ascii="Cambria" w:cs="Cambria" w:eastAsia="Cambria" w:hAnsi="Cambria"/>
                <w:b w:val="1"/>
                <w:color w:val="ffffff"/>
                <w:sz w:val="22"/>
                <w:szCs w:val="22"/>
              </w:rPr>
            </w:pPr>
            <w:r w:rsidDel="00000000" w:rsidR="00000000" w:rsidRPr="00000000">
              <w:rPr>
                <w:rFonts w:ascii="Cambria" w:cs="Cambria" w:eastAsia="Cambria" w:hAnsi="Cambria"/>
                <w:b w:val="1"/>
                <w:color w:val="ffffff"/>
                <w:sz w:val="22"/>
                <w:szCs w:val="22"/>
                <w:rtl w:val="0"/>
              </w:rPr>
              <w:t xml:space="preserve">Modalidade</w:t>
            </w:r>
          </w:p>
        </w:tc>
        <w:tc>
          <w:tcPr>
            <w:shd w:fill="434343" w:val="clear"/>
          </w:tcPr>
          <w:p w:rsidR="00000000" w:rsidDel="00000000" w:rsidP="00000000" w:rsidRDefault="00000000" w:rsidRPr="00000000" w14:paraId="00000012">
            <w:pPr>
              <w:rPr>
                <w:rFonts w:ascii="Cambria" w:cs="Cambria" w:eastAsia="Cambria" w:hAnsi="Cambria"/>
                <w:b w:val="1"/>
                <w:color w:val="ffffff"/>
                <w:sz w:val="22"/>
                <w:szCs w:val="22"/>
              </w:rPr>
            </w:pPr>
            <w:r w:rsidDel="00000000" w:rsidR="00000000" w:rsidRPr="00000000">
              <w:rPr>
                <w:rFonts w:ascii="Cambria" w:cs="Cambria" w:eastAsia="Cambria" w:hAnsi="Cambria"/>
                <w:b w:val="1"/>
                <w:color w:val="ffffff"/>
                <w:sz w:val="22"/>
                <w:szCs w:val="22"/>
                <w:rtl w:val="0"/>
              </w:rPr>
              <w:t xml:space="preserve">Descrição Detalhada</w:t>
            </w:r>
          </w:p>
        </w:tc>
      </w:tr>
      <w:tr>
        <w:trPr>
          <w:cantSplit w:val="0"/>
          <w:tblHeader w:val="0"/>
        </w:trPr>
        <w:tc>
          <w:tcPr/>
          <w:p w:rsidR="00000000" w:rsidDel="00000000" w:rsidP="00000000" w:rsidRDefault="00000000" w:rsidRPr="00000000" w14:paraId="00000013">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R$ 0,18</w:t>
            </w:r>
          </w:p>
        </w:tc>
        <w:tc>
          <w:tcPr/>
          <w:p w:rsidR="00000000" w:rsidDel="00000000" w:rsidP="00000000" w:rsidRDefault="00000000" w:rsidRPr="00000000" w14:paraId="00000014">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90009/2024</w:t>
            </w:r>
          </w:p>
        </w:tc>
        <w:tc>
          <w:tcPr/>
          <w:p w:rsidR="00000000" w:rsidDel="00000000" w:rsidP="00000000" w:rsidRDefault="00000000" w:rsidRPr="00000000" w14:paraId="00000015">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Pregão</w:t>
            </w:r>
          </w:p>
        </w:tc>
        <w:tc>
          <w:tcPr/>
          <w:p w:rsidR="00000000" w:rsidDel="00000000" w:rsidP="00000000" w:rsidRDefault="00000000" w:rsidRPr="00000000" w14:paraId="00000016">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Estudos e projetos diversos (sem detalhamento de georreferenciamento)</w:t>
            </w:r>
          </w:p>
        </w:tc>
      </w:tr>
      <w:tr>
        <w:trPr>
          <w:cantSplit w:val="0"/>
          <w:tblHeader w:val="0"/>
        </w:trPr>
        <w:tc>
          <w:tcPr/>
          <w:p w:rsidR="00000000" w:rsidDel="00000000" w:rsidP="00000000" w:rsidRDefault="00000000" w:rsidRPr="00000000" w14:paraId="00000017">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R$ 0,41</w:t>
            </w:r>
          </w:p>
        </w:tc>
        <w:tc>
          <w:tcPr/>
          <w:p w:rsidR="00000000" w:rsidDel="00000000" w:rsidP="00000000" w:rsidRDefault="00000000" w:rsidRPr="00000000" w14:paraId="00000018">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90007/2024</w:t>
            </w:r>
          </w:p>
        </w:tc>
        <w:tc>
          <w:tcPr/>
          <w:p w:rsidR="00000000" w:rsidDel="00000000" w:rsidP="00000000" w:rsidRDefault="00000000" w:rsidRPr="00000000" w14:paraId="00000019">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Concorrência</w:t>
            </w:r>
          </w:p>
        </w:tc>
        <w:tc>
          <w:tcPr/>
          <w:p w:rsidR="00000000" w:rsidDel="00000000" w:rsidP="00000000" w:rsidRDefault="00000000" w:rsidRPr="00000000" w14:paraId="0000001A">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Levantamentos topográficos planialtimétricos cadastrais georreferenciados</w:t>
            </w:r>
          </w:p>
        </w:tc>
      </w:tr>
      <w:tr>
        <w:trPr>
          <w:cantSplit w:val="0"/>
          <w:tblHeader w:val="0"/>
        </w:trPr>
        <w:tc>
          <w:tcPr/>
          <w:p w:rsidR="00000000" w:rsidDel="00000000" w:rsidP="00000000" w:rsidRDefault="00000000" w:rsidRPr="00000000" w14:paraId="0000001B">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R$ 0,90</w:t>
            </w:r>
          </w:p>
        </w:tc>
        <w:tc>
          <w:tcPr/>
          <w:p w:rsidR="00000000" w:rsidDel="00000000" w:rsidP="00000000" w:rsidRDefault="00000000" w:rsidRPr="00000000" w14:paraId="0000001C">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90024/2024</w:t>
            </w:r>
          </w:p>
        </w:tc>
        <w:tc>
          <w:tcPr/>
          <w:p w:rsidR="00000000" w:rsidDel="00000000" w:rsidP="00000000" w:rsidRDefault="00000000" w:rsidRPr="00000000" w14:paraId="0000001D">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Dispensa</w:t>
            </w:r>
          </w:p>
        </w:tc>
        <w:tc>
          <w:tcPr/>
          <w:p w:rsidR="00000000" w:rsidDel="00000000" w:rsidP="00000000" w:rsidRDefault="00000000" w:rsidRPr="00000000" w14:paraId="0000001E">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Sondagem geotécnica e levantamento topográfico com georreferenciamento</w:t>
            </w:r>
          </w:p>
        </w:tc>
      </w:tr>
      <w:tr>
        <w:trPr>
          <w:cantSplit w:val="0"/>
          <w:tblHeader w:val="0"/>
        </w:trPr>
        <w:tc>
          <w:tcPr/>
          <w:p w:rsidR="00000000" w:rsidDel="00000000" w:rsidP="00000000" w:rsidRDefault="00000000" w:rsidRPr="00000000" w14:paraId="0000001F">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R$ 0,99</w:t>
            </w:r>
          </w:p>
        </w:tc>
        <w:tc>
          <w:tcPr/>
          <w:p w:rsidR="00000000" w:rsidDel="00000000" w:rsidP="00000000" w:rsidRDefault="00000000" w:rsidRPr="00000000" w14:paraId="00000020">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91029/2024</w:t>
            </w:r>
          </w:p>
        </w:tc>
        <w:tc>
          <w:tcPr/>
          <w:p w:rsidR="00000000" w:rsidDel="00000000" w:rsidP="00000000" w:rsidRDefault="00000000" w:rsidRPr="00000000" w14:paraId="00000021">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Pregão</w:t>
            </w:r>
          </w:p>
        </w:tc>
        <w:tc>
          <w:tcPr/>
          <w:p w:rsidR="00000000" w:rsidDel="00000000" w:rsidP="00000000" w:rsidRDefault="00000000" w:rsidRPr="00000000" w14:paraId="00000022">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Projetos urbanísticos e laudos técnicos (com georreferenciamento embutido)</w:t>
            </w:r>
          </w:p>
        </w:tc>
      </w:tr>
      <w:tr>
        <w:trPr>
          <w:cantSplit w:val="0"/>
          <w:tblHeader w:val="0"/>
        </w:trPr>
        <w:tc>
          <w:tcPr/>
          <w:p w:rsidR="00000000" w:rsidDel="00000000" w:rsidP="00000000" w:rsidRDefault="00000000" w:rsidRPr="00000000" w14:paraId="00000023">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R$ 67,80</w:t>
            </w:r>
          </w:p>
        </w:tc>
        <w:tc>
          <w:tcPr/>
          <w:p w:rsidR="00000000" w:rsidDel="00000000" w:rsidP="00000000" w:rsidRDefault="00000000" w:rsidRPr="00000000" w14:paraId="00000024">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90077/2024</w:t>
            </w:r>
          </w:p>
        </w:tc>
        <w:tc>
          <w:tcPr/>
          <w:p w:rsidR="00000000" w:rsidDel="00000000" w:rsidP="00000000" w:rsidRDefault="00000000" w:rsidRPr="00000000" w14:paraId="00000025">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Pregão</w:t>
            </w:r>
          </w:p>
        </w:tc>
        <w:tc>
          <w:tcPr/>
          <w:p w:rsidR="00000000" w:rsidDel="00000000" w:rsidP="00000000" w:rsidRDefault="00000000" w:rsidRPr="00000000" w14:paraId="00000026">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Topografia (valor atípico, fora do padrão — excluído como outlier)</w:t>
            </w:r>
          </w:p>
        </w:tc>
      </w:tr>
    </w:tbl>
    <w:p w:rsidR="00000000" w:rsidDel="00000000" w:rsidP="00000000" w:rsidRDefault="00000000" w:rsidRPr="00000000" w14:paraId="0000002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br w:type="textWrapping"/>
        <w:t xml:space="preserve">Mediana dos valores com georreferenciamento: R$ 0,90/m²</w:t>
      </w:r>
    </w:p>
    <w:p w:rsidR="00000000" w:rsidDel="00000000" w:rsidP="00000000" w:rsidRDefault="00000000" w:rsidRPr="00000000" w14:paraId="00000028">
      <w:pPr>
        <w:spacing w:after="200" w:line="276"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Observação: O valor de R$ 0,18/m² refere-se a serviços de escoramento e movimentação de terra, e o de R$ 67,80/m² apresenta distorção significativa (valor 7.500% acima da mediana), sendo ambos desconsiderados no cálculo de tendência central.</w:t>
      </w:r>
    </w:p>
    <w:p w:rsidR="00000000" w:rsidDel="00000000" w:rsidP="00000000" w:rsidRDefault="00000000" w:rsidRPr="00000000" w14:paraId="00000029">
      <w:pPr>
        <w:spacing w:after="200" w:line="276" w:lineRule="auto"/>
        <w:jc w:val="both"/>
        <w:rPr>
          <w:rFonts w:ascii="Cambria" w:cs="Cambria" w:eastAsia="Cambria" w:hAnsi="Cambria"/>
          <w:sz w:val="22"/>
          <w:szCs w:val="22"/>
        </w:rPr>
      </w:pPr>
      <w:r w:rsidDel="00000000" w:rsidR="00000000" w:rsidRPr="00000000">
        <w:rPr>
          <w:rFonts w:ascii="Cambria" w:cs="Cambria" w:eastAsia="Cambria" w:hAnsi="Cambria"/>
          <w:sz w:val="22"/>
          <w:szCs w:val="22"/>
        </w:rPr>
        <w:drawing>
          <wp:inline distB="114300" distT="114300" distL="114300" distR="114300">
            <wp:extent cx="5399730" cy="2679700"/>
            <wp:effectExtent b="0" l="0" r="0" t="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5399730" cy="2679700"/>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spacing w:after="200" w:line="276" w:lineRule="auto"/>
        <w:jc w:val="both"/>
        <w:rPr>
          <w:rFonts w:ascii="Cambria" w:cs="Cambria" w:eastAsia="Cambria" w:hAnsi="Cambria"/>
          <w:sz w:val="22"/>
          <w:szCs w:val="22"/>
        </w:rPr>
      </w:pPr>
      <w:r w:rsidDel="00000000" w:rsidR="00000000" w:rsidRPr="00000000">
        <w:rPr>
          <w:rFonts w:ascii="Cambria" w:cs="Cambria" w:eastAsia="Cambria" w:hAnsi="Cambria"/>
          <w:sz w:val="22"/>
          <w:szCs w:val="22"/>
        </w:rPr>
        <w:drawing>
          <wp:inline distB="114300" distT="114300" distL="114300" distR="114300">
            <wp:extent cx="5399730" cy="1879600"/>
            <wp:effectExtent b="0" l="0" r="0" t="0"/>
            <wp:docPr id="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39973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pStyle w:val="Heading2"/>
        <w:keepLines w:val="1"/>
        <w:spacing w:after="200" w:before="200" w:line="276" w:lineRule="auto"/>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5. Comparação com Levantamentos Planialtimétricos sem georreferenciamento.</w:t>
      </w:r>
    </w:p>
    <w:p w:rsidR="00000000" w:rsidDel="00000000" w:rsidP="00000000" w:rsidRDefault="00000000" w:rsidRPr="00000000" w14:paraId="0000002C">
      <w:pPr>
        <w:spacing w:after="200" w:line="276"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Conforme o relatório técnico geral de precificação dos levantamentos planialtimétricos que não contém necessariamente o georreferenciamento (Anexo III), os serviços de levantamento topográfico planialtimétrico simples apresentam mediana consolidada em torno de R$ 0,27/m². A diferença observada para serviços com georreferenciamento é, portanto, de mais de 230%.</w:t>
      </w:r>
    </w:p>
    <w:p w:rsidR="00000000" w:rsidDel="00000000" w:rsidP="00000000" w:rsidRDefault="00000000" w:rsidRPr="00000000" w14:paraId="0000002D">
      <w:pPr>
        <w:pStyle w:val="Heading2"/>
        <w:keepLines w:val="1"/>
        <w:spacing w:after="200" w:before="200" w:line="276" w:lineRule="auto"/>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6. Conclusão I</w:t>
      </w:r>
    </w:p>
    <w:p w:rsidR="00000000" w:rsidDel="00000000" w:rsidP="00000000" w:rsidRDefault="00000000" w:rsidRPr="00000000" w14:paraId="0000002E">
      <w:pPr>
        <w:spacing w:after="200" w:line="276" w:lineRule="auto"/>
        <w:jc w:val="both"/>
        <w:rPr>
          <w:rFonts w:ascii="Cambria" w:cs="Cambria" w:eastAsia="Cambria" w:hAnsi="Cambria"/>
          <w:b w:val="1"/>
          <w:sz w:val="22"/>
          <w:szCs w:val="22"/>
        </w:rPr>
      </w:pPr>
      <w:r w:rsidDel="00000000" w:rsidR="00000000" w:rsidRPr="00000000">
        <w:rPr>
          <w:rFonts w:ascii="Cambria" w:cs="Cambria" w:eastAsia="Cambria" w:hAnsi="Cambria"/>
          <w:sz w:val="22"/>
          <w:szCs w:val="22"/>
          <w:rtl w:val="0"/>
        </w:rPr>
        <w:t xml:space="preserve">A análise evidencia que a inclusão do georreferenciamento e da implementação de marcos geográficos nos serviços de topografia resulta em incremento significativo do valor unitário praticado, o que se justifica pelo maior grau de especialização técnica, uso de equipamentos de precisão geodésica e exigências normativas específicas.</w:t>
        <w:br w:type="textWrapping"/>
      </w:r>
      <w:r w:rsidDel="00000000" w:rsidR="00000000" w:rsidRPr="00000000">
        <w:rPr>
          <w:rtl w:val="0"/>
        </w:rPr>
      </w:r>
    </w:p>
    <w:p w:rsidR="00000000" w:rsidDel="00000000" w:rsidP="00000000" w:rsidRDefault="00000000" w:rsidRPr="00000000" w14:paraId="0000002F">
      <w:pPr>
        <w:pStyle w:val="Heading2"/>
        <w:spacing w:after="200" w:line="276" w:lineRule="auto"/>
        <w:jc w:val="both"/>
        <w:rPr>
          <w:rFonts w:ascii="Cambria" w:cs="Cambria" w:eastAsia="Cambria" w:hAnsi="Cambria"/>
          <w:sz w:val="26"/>
          <w:szCs w:val="26"/>
        </w:rPr>
      </w:pPr>
      <w:bookmarkStart w:colFirst="0" w:colLast="0" w:name="_heading=h.jwv00j97yf2w" w:id="0"/>
      <w:bookmarkEnd w:id="0"/>
      <w:r w:rsidDel="00000000" w:rsidR="00000000" w:rsidRPr="00000000">
        <w:rPr>
          <w:rFonts w:ascii="Calibri" w:cs="Calibri" w:eastAsia="Calibri" w:hAnsi="Calibri"/>
          <w:sz w:val="26"/>
          <w:szCs w:val="26"/>
          <w:rtl w:val="0"/>
        </w:rPr>
        <w:t xml:space="preserve">7. Conclusão II </w:t>
      </w:r>
      <w:r w:rsidDel="00000000" w:rsidR="00000000" w:rsidRPr="00000000">
        <w:rPr>
          <w:rtl w:val="0"/>
        </w:rPr>
      </w:r>
    </w:p>
    <w:p w:rsidR="00000000" w:rsidDel="00000000" w:rsidP="00000000" w:rsidRDefault="00000000" w:rsidRPr="00000000" w14:paraId="00000030">
      <w:pPr>
        <w:spacing w:after="240" w:before="240" w:line="276" w:lineRule="auto"/>
        <w:jc w:val="both"/>
        <w:rPr>
          <w:rFonts w:ascii="Cambria" w:cs="Cambria" w:eastAsia="Cambria" w:hAnsi="Cambria"/>
          <w:b w:val="1"/>
          <w:sz w:val="22"/>
          <w:szCs w:val="22"/>
        </w:rPr>
      </w:pPr>
      <w:r w:rsidDel="00000000" w:rsidR="00000000" w:rsidRPr="00000000">
        <w:rPr>
          <w:rFonts w:ascii="Cambria" w:cs="Cambria" w:eastAsia="Cambria" w:hAnsi="Cambria"/>
          <w:sz w:val="22"/>
          <w:szCs w:val="22"/>
          <w:rtl w:val="0"/>
        </w:rPr>
        <w:t xml:space="preserve">A presente estimativa de preços para serviços de levantamento planialtimétrico com georreferenciamento reflete valores destoantes e sem padronização praticados em contratações públicas recentes. Sendo assim, concordamos com a formação do valor por cotação de fornecedores dada a especificidade do objeto.</w:t>
      </w:r>
      <w:r w:rsidDel="00000000" w:rsidR="00000000" w:rsidRPr="00000000">
        <w:rPr>
          <w:rtl w:val="0"/>
        </w:rPr>
      </w:r>
    </w:p>
    <w:p w:rsidR="00000000" w:rsidDel="00000000" w:rsidP="00000000" w:rsidRDefault="00000000" w:rsidRPr="00000000" w14:paraId="00000031">
      <w:pPr>
        <w:spacing w:after="200" w:line="276" w:lineRule="auto"/>
        <w:jc w:val="both"/>
        <w:rPr>
          <w:rFonts w:ascii="Cambria" w:cs="Cambria" w:eastAsia="Cambria" w:hAnsi="Cambria"/>
          <w:sz w:val="22"/>
          <w:szCs w:val="22"/>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18" w:top="1985"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ambr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548dd4"/>
        <w:sz w:val="16"/>
        <w:szCs w:val="16"/>
      </w:rPr>
    </w:pPr>
    <w:r w:rsidDel="00000000" w:rsidR="00000000" w:rsidRPr="00000000">
      <w:rPr>
        <w:rFonts w:ascii="Arial" w:cs="Arial" w:eastAsia="Arial" w:hAnsi="Arial"/>
        <w:color w:val="548dd4"/>
        <w:sz w:val="22"/>
        <w:szCs w:val="22"/>
        <w:rtl w:val="0"/>
      </w:rPr>
      <w:tab/>
      <w:tab/>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7f7f7f"/>
        <w:sz w:val="18"/>
        <w:szCs w:val="18"/>
      </w:rPr>
    </w:pPr>
    <w:r w:rsidDel="00000000" w:rsidR="00000000" w:rsidRPr="00000000">
      <w:rPr>
        <w:rFonts w:ascii="Arial" w:cs="Arial" w:eastAsia="Arial" w:hAnsi="Arial"/>
        <w:color w:val="7f7f7f"/>
        <w:sz w:val="22"/>
        <w:szCs w:val="22"/>
        <w:rtl w:val="0"/>
      </w:rPr>
      <w:tab/>
      <w:tab/>
    </w:r>
    <w:r w:rsidDel="00000000" w:rsidR="00000000" w:rsidRPr="00000000">
      <w:rPr>
        <w:rFonts w:ascii="Arial" w:cs="Arial" w:eastAsia="Arial" w:hAnsi="Arial"/>
        <w:color w:val="595959"/>
        <w:sz w:val="18"/>
        <w:szCs w:val="18"/>
        <w:rtl w:val="0"/>
      </w:rPr>
      <w:t xml:space="preserve">Página </w:t>
    </w:r>
    <w:r w:rsidDel="00000000" w:rsidR="00000000" w:rsidRPr="00000000">
      <w:rPr>
        <w:rFonts w:ascii="Arial" w:cs="Arial" w:eastAsia="Arial" w:hAnsi="Arial"/>
        <w:color w:val="595959"/>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595959"/>
        <w:sz w:val="18"/>
        <w:szCs w:val="18"/>
        <w:rtl w:val="0"/>
      </w:rPr>
      <w:t xml:space="preserve"> | </w:t>
    </w:r>
    <w:r w:rsidDel="00000000" w:rsidR="00000000" w:rsidRPr="00000000">
      <w:rPr>
        <w:rFonts w:ascii="Arial" w:cs="Arial" w:eastAsia="Arial" w:hAnsi="Arial"/>
        <w:color w:val="595959"/>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color w:val="000000"/>
      </w:rPr>
      <w:pict>
        <v:shape id="WordPictureWatermark1" style="position:absolute;width:595.2998425196851pt;height:849.75pt;rotation:0;z-index:-503316481;mso-position-horizontal-relative:margin;mso-position-horizontal:absolute;margin-left:-86.55pt;mso-position-vertical-relative:margin;mso-position-vertical:absolute;margin-top:-109.15pt;" alt="" type="#_x0000_t75">
          <v:imagedata cropbottom="0f" cropleft="0f" cropright="0f" croptop="0f" r:id="rId1" o:title="image1.png"/>
        </v:shape>
      </w:pic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qFormat w:val="1"/>
    <w:rsid w:val="00EA3333"/>
    <w:rPr>
      <w:rFonts w:cs="Tahoma"/>
    </w:rPr>
  </w:style>
  <w:style w:type="paragraph" w:styleId="Ttulo1">
    <w:name w:val="heading 1"/>
    <w:basedOn w:val="Normal"/>
    <w:next w:val="Normal"/>
    <w:link w:val="Ttulo1Char"/>
    <w:uiPriority w:val="9"/>
    <w:qFormat w:val="1"/>
    <w:rsid w:val="007F77AD"/>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Ttulo2">
    <w:name w:val="heading 2"/>
    <w:basedOn w:val="Normal"/>
    <w:next w:val="Normal"/>
    <w:link w:val="Ttulo2Char"/>
    <w:uiPriority w:val="9"/>
    <w:unhideWhenUsed w:val="1"/>
    <w:qFormat w:val="1"/>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link w:val="Ttulo3Char"/>
    <w:uiPriority w:val="9"/>
    <w:semiHidden w:val="1"/>
    <w:unhideWhenUsed w:val="1"/>
    <w:qFormat w:val="1"/>
    <w:rsid w:val="00CB3192"/>
    <w:pPr>
      <w:keepNext w:val="1"/>
      <w:keepLines w:val="1"/>
      <w:spacing w:before="40" w:line="259" w:lineRule="auto"/>
      <w:outlineLvl w:val="2"/>
    </w:pPr>
    <w:rPr>
      <w:rFonts w:asciiTheme="majorHAnsi" w:cstheme="majorBidi" w:eastAsiaTheme="majorEastAsia" w:hAnsiTheme="majorHAnsi"/>
      <w:color w:val="243f60" w:themeColor="accent1" w:themeShade="00007F"/>
      <w:lang w:eastAsia="en-US"/>
    </w:rPr>
  </w:style>
  <w:style w:type="paragraph" w:styleId="Ttulo4">
    <w:name w:val="heading 4"/>
    <w:basedOn w:val="Normal"/>
    <w:next w:val="Normal"/>
    <w:link w:val="Ttulo4Char"/>
    <w:uiPriority w:val="9"/>
    <w:semiHidden w:val="1"/>
    <w:unhideWhenUsed w:val="1"/>
    <w:qFormat w:val="1"/>
    <w:rsid w:val="00A45A85"/>
    <w:pPr>
      <w:keepNext w:val="1"/>
      <w:keepLines w:val="1"/>
      <w:spacing w:before="40"/>
      <w:outlineLvl w:val="3"/>
    </w:pPr>
    <w:rPr>
      <w:rFonts w:asciiTheme="majorHAnsi" w:cstheme="majorBidi" w:eastAsiaTheme="majorEastAsia" w:hAnsiTheme="majorHAnsi"/>
      <w:i w:val="1"/>
      <w:iCs w:val="1"/>
      <w:color w:val="365f91" w:themeColor="accent1" w:themeShade="0000BF"/>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link w:val="Ttulo6Char"/>
    <w:uiPriority w:val="9"/>
    <w:semiHidden w:val="1"/>
    <w:unhideWhenUsed w:val="1"/>
    <w:qFormat w:val="1"/>
    <w:rsid w:val="00CB3192"/>
    <w:pPr>
      <w:keepNext w:val="1"/>
      <w:keepLines w:val="1"/>
      <w:spacing w:before="40" w:line="259" w:lineRule="auto"/>
      <w:outlineLvl w:val="5"/>
    </w:pPr>
    <w:rPr>
      <w:rFonts w:asciiTheme="majorHAnsi" w:cstheme="majorBidi" w:eastAsiaTheme="majorEastAsia" w:hAnsiTheme="majorHAnsi"/>
      <w:color w:val="243f60" w:themeColor="accent1" w:themeShade="00007F"/>
      <w:sz w:val="22"/>
      <w:szCs w:val="22"/>
      <w:lang w:eastAsia="en-US"/>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har"/>
    <w:uiPriority w:val="10"/>
    <w:qFormat w:val="1"/>
    <w:rsid w:val="007F77AD"/>
    <w:pPr>
      <w:pBdr>
        <w:bottom w:color="4f81bd" w:space="4" w:sz="8" w:themeColor="accent1" w:val="single"/>
      </w:pBdr>
      <w:spacing w:after="300"/>
      <w:contextualSpacing w:val="1"/>
    </w:pPr>
    <w:rPr>
      <w:rFonts w:asciiTheme="majorHAnsi" w:cstheme="majorBidi" w:eastAsiaTheme="majorEastAsia" w:hAnsiTheme="majorHAnsi"/>
      <w:color w:val="17365d" w:themeColor="text2" w:themeShade="0000BF"/>
      <w:spacing w:val="5"/>
      <w:kern w:val="28"/>
      <w:sz w:val="52"/>
      <w:szCs w:val="52"/>
    </w:rPr>
  </w:style>
  <w:style w:type="paragraph" w:styleId="PargrafodaLista">
    <w:name w:val="List Paragraph"/>
    <w:basedOn w:val="Normal"/>
    <w:link w:val="PargrafodaListaChar"/>
    <w:uiPriority w:val="34"/>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1"/>
      </w:numPr>
      <w:contextualSpacing w:val="1"/>
    </w:pPr>
  </w:style>
  <w:style w:type="paragraph" w:styleId="Notaexplicativa" w:customStyle="1">
    <w:name w:val="Nota explicativa"/>
    <w:basedOn w:val="Citao"/>
    <w:link w:val="NotaexplicativaChar"/>
    <w:qFormat w:val="1"/>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style>
  <w:style w:type="numbering" w:styleId="Estilo2" w:customStyle="1">
    <w:name w:val="Estilo2"/>
    <w:uiPriority w:val="99"/>
    <w:rsid w:val="00A72B79"/>
  </w:style>
  <w:style w:type="numbering" w:styleId="Estilo3" w:customStyle="1">
    <w:name w:val="Estilo3"/>
    <w:uiPriority w:val="99"/>
    <w:rsid w:val="00A72B79"/>
  </w:style>
  <w:style w:type="numbering" w:styleId="Estilo4" w:customStyle="1">
    <w:name w:val="Estilo4"/>
    <w:uiPriority w:val="99"/>
    <w:rsid w:val="0054016D"/>
  </w:style>
  <w:style w:type="numbering" w:styleId="Estilo5" w:customStyle="1">
    <w:name w:val="Estilo5"/>
    <w:uiPriority w:val="99"/>
    <w:rsid w:val="0054016D"/>
  </w:style>
  <w:style w:type="numbering" w:styleId="Estilo6" w:customStyle="1">
    <w:name w:val="Estilo6"/>
    <w:uiPriority w:val="99"/>
    <w:rsid w:val="0054016D"/>
  </w:style>
  <w:style w:type="character" w:styleId="Refdecomentrio">
    <w:name w:val="annotation reference"/>
    <w:basedOn w:val="Fontepargpadro"/>
    <w:unhideWhenUsed w:val="1"/>
    <w:qFormat w:val="1"/>
    <w:rsid w:val="00430FDB"/>
    <w:rPr>
      <w:sz w:val="16"/>
      <w:szCs w:val="16"/>
    </w:rPr>
  </w:style>
  <w:style w:type="paragraph" w:styleId="Textodecomentrio">
    <w:name w:val="annotation text"/>
    <w:basedOn w:val="Normal"/>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qFormat w:val="1"/>
    <w:rsid w:val="007136D9"/>
    <w:pPr>
      <w:tabs>
        <w:tab w:val="left" w:pos="567"/>
        <w:tab w:val="num" w:pos="720"/>
      </w:tabs>
      <w:spacing w:before="240"/>
      <w:ind w:left="720" w:hanging="720"/>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7136D9"/>
    <w:rPr>
      <w:rFonts w:ascii="Arial" w:cs="Arial" w:hAnsi="Arial" w:eastAsiaTheme="majorEastAsia"/>
      <w:b w:val="1"/>
      <w:bCs w:val="1"/>
      <w:color w:val="17365d" w:themeColor="text2" w:themeShade="0000BF"/>
      <w:spacing w:val="5"/>
      <w:kern w:val="28"/>
      <w:sz w:val="20"/>
      <w:szCs w:val="20"/>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cs="Lohit Hindi" w:eastAsia="WenQuanYi Micro Hei"/>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681F9B"/>
    <w:pPr>
      <w:numPr>
        <w:ilvl w:val="1"/>
        <w:numId w:val="8"/>
      </w:numPr>
      <w:spacing w:after="120" w:before="120" w:line="276" w:lineRule="auto"/>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7B1E53"/>
    <w:pPr>
      <w:numPr>
        <w:ilvl w:val="2"/>
        <w:numId w:val="8"/>
      </w:numPr>
      <w:spacing w:after="120" w:before="120" w:line="276" w:lineRule="auto"/>
      <w:ind w:left="3198"/>
      <w:jc w:val="both"/>
    </w:pPr>
    <w:rPr>
      <w:rFonts w:ascii="Arial" w:cs="Arial" w:hAnsi="Arial"/>
      <w:color w:val="000000"/>
      <w:sz w:val="20"/>
      <w:szCs w:val="20"/>
    </w:rPr>
  </w:style>
  <w:style w:type="paragraph" w:styleId="Nivel4" w:customStyle="1">
    <w:name w:val="Nivel 4"/>
    <w:basedOn w:val="Nivel3"/>
    <w:link w:val="Nivel4Char"/>
    <w:qFormat w:val="1"/>
    <w:rsid w:val="007B1E53"/>
    <w:pPr>
      <w:numPr>
        <w:ilvl w:val="3"/>
      </w:numPr>
      <w:ind w:left="851" w:firstLine="0"/>
    </w:pPr>
    <w:rPr>
      <w:color w:val="auto"/>
    </w:rPr>
  </w:style>
  <w:style w:type="paragraph" w:styleId="Nivel5" w:customStyle="1">
    <w:name w:val="Nivel 5"/>
    <w:basedOn w:val="Nivel4"/>
    <w:qFormat w:val="1"/>
    <w:rsid w:val="007B1E53"/>
    <w:pPr>
      <w:numPr>
        <w:ilvl w:val="4"/>
      </w:numPr>
      <w:ind w:left="1276" w:firstLine="0"/>
    </w:pPr>
  </w:style>
  <w:style w:type="character" w:styleId="Nivel4Char" w:customStyle="1">
    <w:name w:val="Nivel 4 Char"/>
    <w:basedOn w:val="Fontepargpadro"/>
    <w:link w:val="Nivel4"/>
    <w:rsid w:val="007B1E53"/>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cs="Tahoma" w:eastAsia="Times New Roman"/>
    </w:rPr>
  </w:style>
  <w:style w:type="character" w:styleId="Forte">
    <w:name w:val="Strong"/>
    <w:basedOn w:val="Fontepargpadro"/>
    <w:uiPriority w:val="22"/>
    <w:qFormat w:val="1"/>
    <w:rsid w:val="00D30A43"/>
    <w:rPr>
      <w:b w:val="1"/>
      <w:bCs w:val="1"/>
    </w:rPr>
  </w:style>
  <w:style w:type="character" w:styleId="nfase">
    <w:name w:val="Emphasis"/>
    <w:basedOn w:val="Fontepargpadro"/>
    <w:uiPriority w:val="20"/>
    <w:qFormat w:val="1"/>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A831D9"/>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D14643"/>
    <w:pPr>
      <w:spacing w:after="60" w:before="60" w:line="259" w:lineRule="auto"/>
      <w:ind w:left="0"/>
      <w:contextualSpacing w:val="0"/>
      <w:jc w:val="center"/>
    </w:pPr>
    <w:rPr>
      <w:rFonts w:ascii="Arial" w:cs="Arial" w:hAnsi="Arial" w:eastAsiaTheme="minorHAnsi"/>
      <w:b w:val="1"/>
      <w:bCs w:val="1"/>
      <w:i w:val="1"/>
      <w:iCs w:val="1"/>
      <w:color w:val="ff0000"/>
      <w:u w:val="single"/>
    </w:rPr>
  </w:style>
  <w:style w:type="character" w:styleId="ouChar" w:customStyle="1">
    <w:name w:val="ou Char"/>
    <w:basedOn w:val="PargrafodaListaChar"/>
    <w:link w:val="ou"/>
    <w:rsid w:val="00D14643"/>
    <w:rPr>
      <w:rFonts w:ascii="Arial" w:cs="Arial" w:hAnsi="Arial" w:eastAsiaTheme="minorHAnsi"/>
      <w:b w:val="1"/>
      <w:bCs w:val="1"/>
      <w:i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D42AFB"/>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031DBE"/>
    <w:pPr>
      <w:ind w:left="2491" w:hanging="648"/>
    </w:pPr>
    <w:rPr>
      <w:i w:val="1"/>
      <w:iCs w:val="1"/>
      <w:color w:val="ff0000"/>
    </w:rPr>
  </w:style>
  <w:style w:type="character" w:styleId="Nivel3Char" w:customStyle="1">
    <w:name w:val="Nivel 3 Char"/>
    <w:basedOn w:val="Fontepargpadro"/>
    <w:link w:val="Nivel3"/>
    <w:rsid w:val="007B1E53"/>
    <w:rPr>
      <w:rFonts w:ascii="Arial" w:cs="Arial" w:hAnsi="Arial"/>
      <w:color w:val="000000"/>
      <w:lang w:eastAsia="pt-BR"/>
    </w:rPr>
  </w:style>
  <w:style w:type="character" w:styleId="Nvel3-RChar" w:customStyle="1">
    <w:name w:val="Nível 3-R Char"/>
    <w:basedOn w:val="Nivel3Char"/>
    <w:link w:val="Nvel3-R"/>
    <w:rsid w:val="00D42AFB"/>
    <w:rPr>
      <w:rFonts w:ascii="Arial" w:cs="Arial" w:hAnsi="Arial"/>
      <w:i w:val="1"/>
      <w:iCs w:val="1"/>
      <w:color w:val="ff0000"/>
      <w:lang w:eastAsia="pt-BR"/>
    </w:rPr>
  </w:style>
  <w:style w:type="paragraph" w:styleId="Nvel1-SemNum" w:customStyle="1">
    <w:name w:val="Nível 1-Sem Num"/>
    <w:basedOn w:val="Nivel01"/>
    <w:link w:val="Nvel1-SemNumChar"/>
    <w:qFormat w:val="1"/>
    <w:rsid w:val="00E7273B"/>
    <w:pPr>
      <w:tabs>
        <w:tab w:val="clear" w:pos="720"/>
      </w:tabs>
      <w:ind w:left="357" w:firstLine="0"/>
      <w:outlineLvl w:val="1"/>
    </w:pPr>
    <w:rPr>
      <w:color w:val="ff0000"/>
    </w:rPr>
  </w:style>
  <w:style w:type="character" w:styleId="Nvel4-RChar" w:customStyle="1">
    <w:name w:val="Nível 4-R Char"/>
    <w:basedOn w:val="Nivel4Char"/>
    <w:link w:val="Nvel4-R"/>
    <w:rsid w:val="00031DBE"/>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E7273B"/>
    <w:rPr>
      <w:rFonts w:ascii="Arial" w:cs="Arial" w:hAnsi="Arial" w:eastAsiaTheme="majorEastAsia"/>
      <w:b w:val="1"/>
      <w:bCs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character" w:styleId="MenoPendente6" w:customStyle="1">
    <w:name w:val="Menção Pendente6"/>
    <w:basedOn w:val="Fontepargpadro"/>
    <w:uiPriority w:val="99"/>
    <w:semiHidden w:val="1"/>
    <w:unhideWhenUsed w:val="1"/>
    <w:rsid w:val="00F40730"/>
    <w:rPr>
      <w:color w:val="605e5c"/>
      <w:shd w:color="auto" w:fill="e1dfdd" w:val="clear"/>
    </w:rPr>
  </w:style>
  <w:style w:type="character" w:styleId="MenoPendente">
    <w:name w:val="Unresolved Mention"/>
    <w:basedOn w:val="Fontepargpadro"/>
    <w:uiPriority w:val="99"/>
    <w:semiHidden w:val="1"/>
    <w:unhideWhenUsed w:val="1"/>
    <w:rsid w:val="0023483B"/>
    <w:rPr>
      <w:color w:val="605e5c"/>
      <w:shd w:color="auto" w:fill="e1dfdd" w:val="clear"/>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0.0" w:type="dxa"/>
        <w:left w:w="115.0" w:type="dxa"/>
        <w:bottom w:w="0.0" w:type="dxa"/>
        <w:right w:w="115.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table" w:styleId="a1" w:customStyle="1">
    <w:basedOn w:val="TableNormal"/>
    <w:tblPr>
      <w:tblStyleRowBandSize w:val="1"/>
      <w:tblStyleColBandSize w:val="1"/>
      <w:tblCellMar>
        <w:top w:w="0.0" w:type="dxa"/>
        <w:left w:w="115.0" w:type="dxa"/>
        <w:bottom w:w="0.0" w:type="dxa"/>
        <w:right w:w="115.0" w:type="dxa"/>
      </w:tblCellMar>
    </w:tblPr>
  </w:style>
  <w:style w:type="table" w:styleId="a2" w:customSty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5.0" w:type="dxa"/>
        <w:left w:w="15.0" w:type="dxa"/>
        <w:bottom w:w="15.0" w:type="dxa"/>
        <w:right w:w="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4CkqiK+1Q1Daml0To8pzduM/BA==">CgMxLjAyDmguand2MDBqOTd5ZjJ3OAByITF0aGFNQ2F1eFVQMFREQTZ5RmNUWmZ0UlJNalZLc19Jbw==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2024-08-09T00:12:00Z</dcterms:created>
</cp:coreProperties>
</file>